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11" w:rsidRPr="00167411" w:rsidRDefault="00167411" w:rsidP="00167411">
      <w:pPr>
        <w:jc w:val="center"/>
        <w:rPr>
          <w:rFonts w:ascii="仿宋_GB2312" w:eastAsia="仿宋_GB2312" w:hAnsi="Times New Roman" w:cs="Times New Roman" w:hint="eastAsia"/>
          <w:b/>
          <w:sz w:val="44"/>
          <w:szCs w:val="44"/>
        </w:rPr>
      </w:pPr>
      <w:r w:rsidRPr="00167411">
        <w:rPr>
          <w:rFonts w:ascii="仿宋_GB2312" w:eastAsia="仿宋_GB2312" w:hAnsi="Times New Roman" w:cs="Times New Roman" w:hint="eastAsia"/>
          <w:b/>
          <w:sz w:val="44"/>
          <w:szCs w:val="44"/>
        </w:rPr>
        <w:t>2022年预算绩效管理工作开展情况</w:t>
      </w:r>
    </w:p>
    <w:p w:rsidR="00167411" w:rsidRDefault="00167411" w:rsidP="00167411">
      <w:pPr>
        <w:ind w:firstLineChars="147" w:firstLine="470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167411" w:rsidRPr="00A86CBA" w:rsidRDefault="00167411" w:rsidP="004F2137">
      <w:pPr>
        <w:ind w:firstLineChars="195" w:firstLine="626"/>
        <w:rPr>
          <w:rFonts w:ascii="仿宋_GB2312" w:eastAsia="仿宋_GB2312" w:hAnsi="Times New Roman" w:cs="Times New Roman"/>
          <w:b/>
          <w:sz w:val="32"/>
          <w:szCs w:val="32"/>
        </w:rPr>
      </w:pPr>
      <w:r w:rsidRPr="004F2137">
        <w:rPr>
          <w:rFonts w:ascii="楷体_GB2312" w:eastAsia="楷体_GB2312" w:hAnsi="Times New Roman" w:cs="Times New Roman" w:hint="eastAsia"/>
          <w:b/>
          <w:sz w:val="32"/>
          <w:szCs w:val="32"/>
        </w:rPr>
        <w:t>一、</w:t>
      </w:r>
      <w:r w:rsidRPr="004F2137">
        <w:rPr>
          <w:rFonts w:ascii="楷体_GB2312" w:eastAsia="楷体_GB2312" w:hint="eastAsia"/>
          <w:b/>
          <w:sz w:val="32"/>
          <w:szCs w:val="32"/>
        </w:rPr>
        <w:t>继续完善绩效制度建设。</w:t>
      </w:r>
      <w:r w:rsidRPr="00DB7DB5">
        <w:rPr>
          <w:rFonts w:ascii="仿宋_GB2312" w:eastAsia="仿宋_GB2312" w:hint="eastAsia"/>
          <w:sz w:val="32"/>
          <w:szCs w:val="32"/>
        </w:rPr>
        <w:t>为加快建立科学规范的预算绩效运行监控体系，进一步规范市级预算部门整体支出绩效目标管理，提高财政资源配置效率和使用效益，出台了《市级部门预算绩效运行监控管理办法》</w:t>
      </w:r>
      <w:r w:rsidRPr="00DB7DB5">
        <w:rPr>
          <w:rFonts w:ascii="仿宋_GB2312" w:eastAsia="仿宋_GB2312" w:hAnsi="方正黑体_GBK" w:cs="方正黑体_GBK" w:hint="eastAsia"/>
          <w:sz w:val="32"/>
          <w:szCs w:val="32"/>
        </w:rPr>
        <w:t>(朔财绩〔2022〕6号)</w:t>
      </w:r>
      <w:r w:rsidRPr="00DB7DB5">
        <w:rPr>
          <w:rFonts w:ascii="仿宋_GB2312" w:eastAsia="仿宋_GB2312" w:hint="eastAsia"/>
          <w:sz w:val="32"/>
          <w:szCs w:val="32"/>
        </w:rPr>
        <w:t>和《市级部门整体支出绩效目标管理细则》</w:t>
      </w:r>
      <w:r w:rsidRPr="00DB7DB5">
        <w:rPr>
          <w:rFonts w:ascii="仿宋_GB2312" w:eastAsia="仿宋_GB2312" w:hAnsi="方正黑体_GBK" w:cs="方正黑体_GBK" w:hint="eastAsia"/>
          <w:sz w:val="32"/>
          <w:szCs w:val="32"/>
        </w:rPr>
        <w:t>(朔财绩〔2022〕7号)</w:t>
      </w:r>
      <w:r w:rsidRPr="00DB7DB5">
        <w:rPr>
          <w:rFonts w:ascii="仿宋_GB2312" w:eastAsia="仿宋_GB2312" w:hint="eastAsia"/>
          <w:sz w:val="32"/>
          <w:szCs w:val="32"/>
        </w:rPr>
        <w:t>。</w:t>
      </w:r>
    </w:p>
    <w:p w:rsidR="00167411" w:rsidRPr="00DB7DB5" w:rsidRDefault="00167411" w:rsidP="004F2137">
      <w:pPr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4F2137">
        <w:rPr>
          <w:rFonts w:ascii="楷体_GB2312" w:eastAsia="楷体_GB2312" w:hint="eastAsia"/>
          <w:b/>
          <w:sz w:val="32"/>
          <w:szCs w:val="32"/>
        </w:rPr>
        <w:t>二、</w:t>
      </w:r>
      <w:r w:rsidRPr="004F2137">
        <w:rPr>
          <w:rFonts w:ascii="楷体_GB2312" w:eastAsia="楷体_GB2312" w:hint="eastAsia"/>
          <w:b/>
          <w:sz w:val="32"/>
          <w:szCs w:val="32"/>
        </w:rPr>
        <w:t>促进预算绩效管理提质增效。</w:t>
      </w:r>
      <w:r w:rsidRPr="00DB7DB5">
        <w:rPr>
          <w:rFonts w:ascii="仿宋_GB2312" w:eastAsia="仿宋_GB2312" w:hint="eastAsia"/>
          <w:sz w:val="32"/>
          <w:szCs w:val="32"/>
        </w:rPr>
        <w:t xml:space="preserve">深入贯彻落实《中共朔州市委 </w:t>
      </w:r>
      <w:bookmarkStart w:id="0" w:name="_GoBack"/>
      <w:bookmarkEnd w:id="0"/>
      <w:r w:rsidRPr="00DB7DB5">
        <w:rPr>
          <w:rFonts w:ascii="仿宋_GB2312" w:eastAsia="仿宋_GB2312" w:hint="eastAsia"/>
          <w:sz w:val="32"/>
          <w:szCs w:val="32"/>
        </w:rPr>
        <w:t>朔州市人民政府关于全面实施预算绩效管理的实施办法》，拓展预算绩效管理范围，强化预算约束和绩效管理，完善全过程预算绩效管理体系，制定了《深入推进预算绩效管理提质增效重点任务局内分工方案》</w:t>
      </w:r>
      <w:r w:rsidRPr="00DB7DB5">
        <w:rPr>
          <w:rFonts w:ascii="仿宋_GB2312" w:eastAsia="仿宋_GB2312" w:hAnsi="Times New Roman" w:cs="Times New Roman" w:hint="eastAsia"/>
          <w:b/>
          <w:sz w:val="32"/>
          <w:szCs w:val="32"/>
        </w:rPr>
        <w:t>，</w:t>
      </w:r>
      <w:r w:rsidRPr="00DB7DB5">
        <w:rPr>
          <w:rFonts w:ascii="仿宋_GB2312" w:eastAsia="仿宋_GB2312" w:hAnsi="Times New Roman" w:cs="Times New Roman" w:hint="eastAsia"/>
          <w:sz w:val="32"/>
          <w:szCs w:val="32"/>
        </w:rPr>
        <w:t>明确了相关科室职责分工。</w:t>
      </w:r>
    </w:p>
    <w:p w:rsidR="00167411" w:rsidRPr="00DB7DB5" w:rsidRDefault="00167411" w:rsidP="004F2137">
      <w:pPr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4F2137">
        <w:rPr>
          <w:rFonts w:ascii="楷体_GB2312" w:eastAsia="楷体_GB2312" w:hAnsi="Times New Roman" w:cs="Times New Roman" w:hint="eastAsia"/>
          <w:b/>
          <w:sz w:val="32"/>
          <w:szCs w:val="32"/>
        </w:rPr>
        <w:t>三、</w:t>
      </w:r>
      <w:r w:rsidRPr="004F2137">
        <w:rPr>
          <w:rFonts w:ascii="楷体_GB2312" w:eastAsia="楷体_GB2312" w:hAnsi="Times New Roman" w:cs="Times New Roman" w:hint="eastAsia"/>
          <w:b/>
          <w:sz w:val="32"/>
          <w:szCs w:val="32"/>
        </w:rPr>
        <w:t>开展重点绩效评价。</w:t>
      </w:r>
      <w:r w:rsidRPr="00DB7DB5">
        <w:rPr>
          <w:rFonts w:ascii="仿宋_GB2312" w:eastAsia="仿宋_GB2312" w:hAnsi="仿宋_GB2312" w:cs="仿宋" w:hint="eastAsia"/>
          <w:sz w:val="32"/>
          <w:szCs w:val="32"/>
        </w:rPr>
        <w:t>今年抽查涵盖教育、科技、政府债务、营商环境等12个项目作为重点评价对象，涉及财政资金131545万元。</w:t>
      </w:r>
      <w:r w:rsidRPr="00DB7DB5">
        <w:rPr>
          <w:rFonts w:ascii="仿宋_GB2312" w:eastAsia="仿宋_GB2312" w:hAnsi="仿宋" w:cs="Times New Roman" w:hint="eastAsia"/>
          <w:sz w:val="32"/>
          <w:szCs w:val="32"/>
        </w:rPr>
        <w:t>积极推动部门整体绩效评价试点工作，对市公安局、市规划和自然资源局和市水利局三个</w:t>
      </w:r>
      <w:r w:rsidRPr="00DB7DB5">
        <w:rPr>
          <w:rFonts w:ascii="仿宋_GB2312" w:eastAsia="仿宋_GB2312" w:hAnsi="宋体" w:cs="Times New Roman" w:hint="eastAsia"/>
          <w:sz w:val="32"/>
          <w:szCs w:val="32"/>
        </w:rPr>
        <w:t>部门2021年整体支出进行绩效评价，</w:t>
      </w:r>
      <w:r w:rsidRPr="00DB7DB5">
        <w:rPr>
          <w:rFonts w:ascii="仿宋_GB2312" w:eastAsia="仿宋_GB2312" w:hAnsi="仿宋_GB2312" w:cs="仿宋" w:hint="eastAsia"/>
          <w:sz w:val="32"/>
          <w:szCs w:val="32"/>
        </w:rPr>
        <w:t>涉及财政资金55072万元</w:t>
      </w:r>
      <w:r w:rsidRPr="00DB7DB5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A27ACC" w:rsidRPr="00167411" w:rsidRDefault="00A27ACC">
      <w:pPr>
        <w:rPr>
          <w:rFonts w:hint="eastAsia"/>
        </w:rPr>
      </w:pPr>
    </w:p>
    <w:sectPr w:rsidR="00A27ACC" w:rsidRPr="00167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D9"/>
    <w:rsid w:val="00167411"/>
    <w:rsid w:val="004F2137"/>
    <w:rsid w:val="00690AD9"/>
    <w:rsid w:val="00A2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2023-03-06T07:03:00Z</dcterms:created>
  <dcterms:modified xsi:type="dcterms:W3CDTF">2023-03-06T07:06:00Z</dcterms:modified>
</cp:coreProperties>
</file>